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CN"/>
        </w:rPr>
      </w:pPr>
      <w:bookmarkStart w:id="0" w:name="_Toc16450386"/>
      <w:bookmarkStart w:id="1" w:name="_Toc435614385"/>
      <w:bookmarkStart w:id="2" w:name="_Toc8514"/>
      <w:r>
        <w:rPr>
          <w:rFonts w:hint="eastAsia" w:ascii="楷体" w:hAnsi="楷体" w:eastAsia="楷体" w:cs="楷体"/>
          <w:sz w:val="28"/>
          <w:szCs w:val="28"/>
        </w:rPr>
        <w:t>附件1：</w:t>
      </w:r>
    </w:p>
    <w:tbl>
      <w:tblPr>
        <w:tblStyle w:val="3"/>
        <w:tblW w:w="87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提供资料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封面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承诺函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附件2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身份证（复印件）或法人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授权书（原件）及法人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身份证（复印件）、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被授权人身份证（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复印件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有效的营业执照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详细的报价清单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备注：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以上资料按照顺序装订并加盖公章，一式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五份。</w:t>
      </w:r>
      <w:bookmarkEnd w:id="0"/>
      <w:bookmarkEnd w:id="1"/>
      <w:bookmarkEnd w:id="2"/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tbl>
      <w:tblPr>
        <w:tblW w:w="1456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727"/>
        <w:gridCol w:w="2921"/>
        <w:gridCol w:w="952"/>
        <w:gridCol w:w="952"/>
        <w:gridCol w:w="952"/>
        <w:gridCol w:w="952"/>
        <w:gridCol w:w="4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新泰市中医院IGS机 330 机房施工清单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钢板基础制作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1100*2500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根据图纸位置切割PVC地板，下挖地面至楼板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设备钢结构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IGS 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根据图纸制作（基础钢板、显示器吊架、铅屏风支架）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设备基础防护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3mm铅板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根据图纸防护面积1.2米*2.6米，错缝搭接射线无泄漏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线缆洞口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φ280 φ150 φ100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根据图纸地面楼板穿线洞口及过墙洞口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桥架安装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400*150  200*100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根据图纸吊顶上方桥架及下层顶部桥架，含下层吊顶拆装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穿线孔射线防护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根据图纸3mm铅板造型，装机后完成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设备间及操作间线槽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宽度300mm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根据图纸地面明装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备注：自行勘察现场后，根据图纸要求施工。现场负责人设备科唐科长。</w:t>
            </w:r>
          </w:p>
        </w:tc>
      </w:tr>
    </w:tbl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  <w:bookmarkStart w:id="3" w:name="_GoBack"/>
      <w:bookmarkEnd w:id="3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0"/>
        <w:szCs w:val="21"/>
      </w:rPr>
    </w:pPr>
    <w:r>
      <w:rPr>
        <w:rFonts w:ascii="仿宋" w:hAnsi="仿宋" w:eastAsia="仿宋"/>
        <w:sz w:val="20"/>
        <w:szCs w:val="21"/>
      </w:rPr>
      <w:fldChar w:fldCharType="begin"/>
    </w:r>
    <w:r>
      <w:rPr>
        <w:rFonts w:ascii="仿宋" w:hAnsi="仿宋" w:eastAsia="仿宋"/>
        <w:sz w:val="20"/>
        <w:szCs w:val="21"/>
      </w:rPr>
      <w:instrText xml:space="preserve">PAGE   \* MERGEFORMAT</w:instrText>
    </w:r>
    <w:r>
      <w:rPr>
        <w:rFonts w:ascii="仿宋" w:hAnsi="仿宋" w:eastAsia="仿宋"/>
        <w:sz w:val="20"/>
        <w:szCs w:val="21"/>
      </w:rPr>
      <w:fldChar w:fldCharType="separate"/>
    </w:r>
    <w:r>
      <w:rPr>
        <w:rFonts w:ascii="仿宋" w:hAnsi="仿宋" w:eastAsia="仿宋"/>
        <w:sz w:val="20"/>
        <w:szCs w:val="21"/>
      </w:rPr>
      <w:t>2</w:t>
    </w:r>
    <w:r>
      <w:rPr>
        <w:rFonts w:ascii="仿宋" w:hAnsi="仿宋" w:eastAsia="仿宋"/>
        <w:sz w:val="20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ZjNiZDQzYzBjY2YyYWQwM2M1NjUxZjEyNTBmMzMifQ=="/>
  </w:docVars>
  <w:rsids>
    <w:rsidRoot w:val="191E71C1"/>
    <w:rsid w:val="0C560A4C"/>
    <w:rsid w:val="0D1E2CE9"/>
    <w:rsid w:val="0D33208C"/>
    <w:rsid w:val="0FC151E5"/>
    <w:rsid w:val="107E484D"/>
    <w:rsid w:val="18677ECB"/>
    <w:rsid w:val="191E71C1"/>
    <w:rsid w:val="28D05206"/>
    <w:rsid w:val="3A1D02E4"/>
    <w:rsid w:val="42EA5B83"/>
    <w:rsid w:val="52AC6255"/>
    <w:rsid w:val="53C91FD0"/>
    <w:rsid w:val="5D42240C"/>
    <w:rsid w:val="5E182F5B"/>
    <w:rsid w:val="602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table" w:customStyle="1" w:styleId="6">
    <w:name w:val="网格型1"/>
    <w:basedOn w:val="3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4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2023-12-19T02:36:00Z</dcterms:created>
  <dc:creator>pocoyo</dc:creator>
  <cp:lastModifiedBy>清风飞扬</cp:lastModifiedBy>
  <dcterms:modified xsi:type="dcterms:W3CDTF">2024-01-06T02:02:34Z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A33F9644B5684F5683D7CDEB6E6F8DFC_13</vt:lpwstr>
  </property>
</Properties>
</file>