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zh-TW" w:eastAsia="zh-TW"/>
        </w:rPr>
        <w:t>产品技术参数</w:t>
      </w:r>
    </w:p>
    <w:p>
      <w:pPr>
        <w:pStyle w:val="7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</w:p>
    <w:p>
      <w:pPr>
        <w:pStyle w:val="7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图像处理装置（CV-290）  数量：1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输出模式为16：9和16:10两种，并可兼容HDTV监视器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模拟SDTV信号输出VBS复合端口，Y/C和RGB可以同时输出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模拟HDTV信号输出，可选择RGB或YPbPr输出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数字信号输出可选择SDI、DV、DVI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具有自动增益控制（AGC)功能，当内镜先端部距离目标太远而使光线不足时，图像信号可以电子放大，可以自动调整图像亮度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 测光模式：具有平均、峰值、全自动测光可供选择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标准色图输出可以显示色条或50%白色屏幕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色调调节、蓝色调节、红色调节均可±8档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降噪功能，可在图像处理处理过程中校正噪点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测光模式：具有平均、峰值、全自动测光可供选择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图像强调设定可以根据用户设定选择构造强调和轮廓强调两种模式，并有三个强调级别来切换图像强调模式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适应型IHb色彩强调可基于内镜图像的IHb值来强调色彩的细微差异并有三个按钮来选择IHb色彩强调级别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具有和预冻结冻结功能，可通过内镜按钮或键盘上快捷键实现冻结内镜图像；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具有内镜远程切换功能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配备便携式储存器以用来储存图像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内镜信息记忆功能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设定存储功能，图像处理中心关闭后，各种性能设定仍被存储；</w:t>
      </w:r>
    </w:p>
    <w:p>
      <w:pPr>
        <w:pStyle w:val="7"/>
        <w:framePr w:wrap="auto" w:vAnchor="margin" w:hAnchor="text" w:yAlign="inline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防电击保护类型，Ⅰ级</w:t>
      </w:r>
    </w:p>
    <w:p>
      <w:pPr>
        <w:pStyle w:val="7"/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冷光源(CLV-290SL)   数量：1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自动亮度调节：伺服光圈模式；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自动曝光：≥17 档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具有特殊光处理功能：NBI和AFI功能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送气系统：气泵 横隔膜式气泵；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送水系统：气压式送水或可拆式水瓶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应急灯指示功能：指示应急灯是否缺失接触不良或正在使用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设定存储：关闭电源后，设定仍可被保存。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检查灯：≥300W 氙气短弧灯（无臭氧）。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照明：点亮方式，开关调节器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照明：亮度调节，光路光圈控制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照明：冷却，强制空气冷却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照明：颜色转换，使用专用滤光片可以实现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应急灯，平均寿命≥500 小时。 </w:t>
      </w:r>
    </w:p>
    <w:p>
      <w:pPr>
        <w:pStyle w:val="7"/>
        <w:framePr w:wrap="auto" w:vAnchor="margin" w:hAnchor="text" w:yAlign="inline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防电击保护类型，Ⅰ级</w:t>
      </w:r>
    </w:p>
    <w:p>
      <w:pPr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 xml:space="preserve">高清放大电子胃镜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>GIF-H2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 xml:space="preserve">0Z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黑白CCD成像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拥有HDTV高清图像，可兼容NBI观察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具有放大和便捷的副送水功能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先端外径≤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9.9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mm, 插入部外径≤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9.6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mm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弯曲角度上≥210度，下≥90度，左≥100度，右≥100度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视野角（广角）≥140度、视野角（长焦）≥75度；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景深（广角）≥7mm-100mm、景深（长焦）≥1.5mm-3mm，焦距范围可转换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钳子管道内径≥2.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 xml:space="preserve"> mm、 最小可视距离 ≤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mm</w:t>
      </w:r>
    </w:p>
    <w:p>
      <w:pPr>
        <w:framePr w:wrap="auto" w:vAnchor="margin" w:hAnchor="text" w:yAlign="inline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right="0" w:rightChars="0" w:hanging="425" w:firstLineChars="0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/>
        </w:rPr>
        <w:t>One touch连接：一键式插拔的导光插头，全防水设计，无需防水帽，降低人为漏水故障</w:t>
      </w:r>
      <w:bookmarkStart w:id="0" w:name="_GoBack"/>
      <w:bookmarkEnd w:id="0"/>
    </w:p>
    <w:p>
      <w:pPr>
        <w:framePr w:wrap="auto" w:vAnchor="margin" w:hAnchor="text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 w:right="0" w:rightChars="0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四、治疗胃镜  （GIF-Q260J）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具有附送水管道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外径≤9.9mm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钳子管道≥3.2mm，最小可视距离≤3mm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弯曲角度上≥210度，下≥90度，左≥100度，右≥100度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视野角≥140度，景深≥3mm-100mm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具有激光、高频兼容性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具有特殊光观察功能，精确分辨病变及粘膜和腺体结构</w:t>
      </w:r>
    </w:p>
    <w:p>
      <w:pPr>
        <w:framePr w:wrap="auto" w:vAnchor="margin" w:hAnchor="text" w:yAlign="inline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5" w:leftChars="0" w:right="0" w:rightChars="0" w:hanging="425" w:firstLineChars="0"/>
        <w:rPr>
          <w:rFonts w:hint="eastAsia"/>
          <w:lang w:val="zh-TW" w:eastAsia="zh-T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TW" w:eastAsia="zh-TW"/>
        </w:rPr>
        <w:t>具有内镜信息记忆功能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rPr>
          <w:rFonts w:hint="default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 w:bidi="ar-SA"/>
        </w:rPr>
        <w:t xml:space="preserve">五、高频电刀  （ESG-100）  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最大输出功率为</w:t>
      </w:r>
      <w:r>
        <w:rPr>
          <w:rFonts w:hint="default" w:ascii="Arial" w:hAnsi="Arial" w:eastAsia="仿宋_GB2312" w:cs="Arial"/>
          <w:kern w:val="0"/>
          <w:sz w:val="26"/>
          <w:szCs w:val="26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120W； 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  <w:t>两种高频电输出种类：单极和双极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；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  <w:t>多种输出模式：Cut/PulseCut/SoftCoag/ForcedCoag 等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  <w:t xml:space="preserve"> 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  <w:t>具有 PulseCut 功能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，输出模式下，电切与凝固交替输出，切割与止血同步进行，并</w:t>
      </w:r>
      <w:r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  <w:t>有两种速度设定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；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具有切开和凝固模式，切开模式5种可选，凝固模式3种可选；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TW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防电击保护类型级别：I级</w:t>
      </w:r>
    </w:p>
    <w:p>
      <w:pPr>
        <w:pStyle w:val="7"/>
        <w:framePr w:wrap="auto" w:vAnchor="margin" w:hAnchor="text" w:yAlign="inline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lang w:val="en-US" w:eastAsia="zh-CN"/>
        </w:rPr>
        <w:t>基本频率：330-380kHz</w:t>
      </w:r>
    </w:p>
    <w:p/>
    <w:p>
      <w:pPr>
        <w:pStyle w:val="2"/>
        <w:framePr w:wrap="around"/>
        <w:numPr>
          <w:ilvl w:val="0"/>
          <w:numId w:val="6"/>
        </w:numP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/>
        </w:rPr>
        <w:t>全自动清洗消毒机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  <w:t xml:space="preserve"> （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/>
        </w:rPr>
        <w:t xml:space="preserve">Rider30B 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  <w:t>）   数量：2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、消毒剂储存箱容量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≥12L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2、适酶储存箱容量≥1L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3、酒精储存箱容量≥1L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4、测漏压力传感器采用原装进口压力传感器，提供产品报关单。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5、电磁阀采用原装进口电磁阀，提供产品报关单。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6、内置绝对精度0.22μm水过滤器，用于除菌，提供生产厂家证明文件。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7、清洗液、酒精计量装置采用蠕动计量泵，计量精度≤1%。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8、单槽，每次处理镜子1条。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9、完整程序清洗消毒时间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戊二醛:＜25分钟；邻苯二甲醛:＜20分钟；过氧乙酸:＜20分钟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10、测漏功能采用具有专利技术的全程适时内镜测漏监控装置，提供专利文件；若内镜存在微小泄露，设备持续提供正压，程序结束后提示；若内镜存在大泄露，在接触液体前强制退出并报警。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11、消毒程序耗水量＜30L，标准及加强程序耗水量＜50L。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12、具有自身消毒功能；能够对设备全管道、槽体进行消毒而且能够对除菌水过滤器消毒；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13、具有加强消毒功能；延长消毒时间，可用于阳性传染病人检查后的内镜，强化消毒效果；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14、设有独立的内镜管腔增压泵，能够持续洗消注气、注水官腔，活检、吸引管腔，辅助送水官腔和抬钳器官腔等。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15、内管腔增压泵压力监测内置专用传感器，用于检测内管腔增压泵流量；内镜堵塞及增加泵故障时吗，设备及时报警提示。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16、具有空气和酒精干燥功能功能；设备内置专用吹干用空压机及空气过滤器，确保内镜管腔吹干效果。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17、全浸泡可实现对洗消槽、门盖下表面、内镜外表面的完全浸泡，避免存在清洗死角导致消毒不合格。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18、消毒剂加热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可对消毒剂自动加热并显示加热温度，提高消毒效果和效率；独立消毒剂加热控制系统。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19、具有消毒剂自动取样功能；通过独立的消毒液取样泵控制，可实现消毒液的自动取样，以降低消毒液对操作人员的危害。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20、设备自动对消毒液进行添加和排放。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21、内置0.2μm无菌水过滤器；消毒后使用0.2μm过滤器过滤的无菌水漂洗，避免不干净的漂洗水再次污染消毒好的内镜。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22、具有洗消槽节液设计，使用9L消毒液即可完成对内镜、洗消槽及槽盖的完全浸没。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23、具有消毒剂不足报警；清洗液不足报警；酒精不足报警；水压低报警。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ab/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24、每完成一次清洗消毒流程，自动记录洗消次数；打印每一条内镜清洗消毒的过程数据：操作员编号、程序名称、洗消日期、洗消时间、阶段名称、阶段时间，提供打印样品扫描件；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25、控制系统采用PLC控制。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26、采用5英寸彩色触摸屏显示；点选彩色触摸屏直接控制设备运行，而非膜按键方式；人机交互更为友好、便捷；显示屏显示运行过程的程序名称、洗消日期、运行阶段名称和阶段计时并提供运行界面实物照片。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27、内镜测堵及灌流泵故障报警；内灌流管路有独立的流量检测装置，内镜堵塞及灌流泵故障时，设备立即报警提示。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28、具有程序运行倒计时功能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精确的设备倒计时功能，便于观测程序剩余时间，方便操作人员协调内镜洗消工作。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29、具有一键启动功能；可预设快速运行程序编号，在设备主界面一键启动预设程序。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30、透明门盖采用透明亚克力材质，可以清晰观察镜子的清洗消毒情况。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31、可脚踢开门；避免因手动开门污染手套，拿取消毒完毕的内镜时产生二次感染；机械门结构，可断电开门；在断电条件下正常开关门，避免因断电导致内镜无法取出；具备门关位检测，开门状态下，无法运行程序；程序运行过程中，开门自动终止程序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32、采用进口经FDA认证的食品级软管，提供认证证书和报关单。</w:t>
      </w:r>
    </w:p>
    <w:p>
      <w:pPr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lang w:val="en-US" w:eastAsia="zh-CN"/>
        </w:rPr>
        <w:t>33、提供第三方权威机构出具的产品与使用循环型消毒剂（戊二醛、邻苯二甲醛、过氧乙酸）的消毒效果检测报告；注册检验报告；卫生安全评价报告；电磁兼容报告</w:t>
      </w:r>
    </w:p>
    <w:p>
      <w:pPr>
        <w:framePr w:wrap="around"/>
        <w:rPr>
          <w:rFonts w:hint="eastAsia"/>
          <w:lang w:val="en-US" w:eastAsia="zh-CN"/>
        </w:rPr>
      </w:pPr>
    </w:p>
    <w:p>
      <w:pPr>
        <w:pStyle w:val="8"/>
        <w:framePr w:wrap="around" w:yAlign="inline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center" w:pos="4150"/>
        </w:tabs>
        <w:ind w:leftChars="0"/>
        <w:rPr>
          <w:rFonts w:hint="default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kern w:val="0"/>
          <w:position w:val="0"/>
          <w:sz w:val="26"/>
          <w:szCs w:val="26"/>
          <w:u w:val="none" w:color="000000"/>
          <w:vertAlign w:val="baseline"/>
          <w:rtl w:val="0"/>
          <w:lang w:val="en-US" w:eastAsia="zh-CN"/>
        </w:rPr>
        <w:t xml:space="preserve">七、二氧化碳送气装置(ACD-1）   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pStyle w:val="7"/>
        <w:framePr w:wrap="around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智能化气源压力测量设置，对输出能量过高、过低具有保障设计</w:t>
      </w:r>
    </w:p>
    <w:p>
      <w:pPr>
        <w:pStyle w:val="7"/>
        <w:framePr w:wrap="around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操作简单便捷，一键式开关操作</w:t>
      </w:r>
    </w:p>
    <w:p>
      <w:pPr>
        <w:pStyle w:val="7"/>
        <w:framePr w:wrap="around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输出二氧化碳气体额定压强为45KPa±4KPa</w:t>
      </w:r>
    </w:p>
    <w:p>
      <w:pPr>
        <w:pStyle w:val="7"/>
        <w:framePr w:wrap="around"/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输出二氧化碳气体额定流量为8.5 L/min±1 L/min</w:t>
      </w:r>
    </w:p>
    <w:p>
      <w:pPr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</w:p>
    <w:p>
      <w:pPr>
        <w:pStyle w:val="7"/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0" w:right="0" w:rightChars="0"/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rtl w:val="0"/>
          <w:lang w:val="en-US" w:eastAsia="zh-CN"/>
        </w:rPr>
        <w:t>八、内镜下送水装置 （OFP-2）   数量：1</w:t>
      </w:r>
    </w:p>
    <w:p>
      <w:pPr>
        <w:pStyle w:val="7"/>
        <w:framePr w:wrap="around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zh-TW" w:eastAsia="zh-CN"/>
        </w:rPr>
        <w:t>具有自动流量设置记忆功能</w:t>
      </w:r>
    </w:p>
    <w:p>
      <w:pPr>
        <w:pStyle w:val="7"/>
        <w:framePr w:wrap="around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流速可调</w:t>
      </w:r>
    </w:p>
    <w:p>
      <w:pPr>
        <w:pStyle w:val="7"/>
        <w:framePr w:wrap="around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泵头可拆卸设计</w:t>
      </w:r>
    </w:p>
    <w:p>
      <w:pPr>
        <w:pStyle w:val="7"/>
        <w:framePr w:wrap="around"/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="425" w:leftChars="0" w:hanging="425" w:firstLineChars="0"/>
        <w:jc w:val="left"/>
        <w:rPr>
          <w:rFonts w:hint="default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流量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zh-TW" w:eastAsia="zh-TW"/>
        </w:rPr>
        <w:t>≥</w:t>
      </w:r>
      <w:r>
        <w:rPr>
          <w:rFonts w:hint="eastAsia" w:ascii="仿宋_GB2312" w:hAnsi="仿宋_GB2312" w:eastAsia="仿宋_GB2312" w:cs="仿宋_GB2312"/>
          <w:kern w:val="0"/>
          <w:sz w:val="26"/>
          <w:szCs w:val="26"/>
          <w:rtl w:val="0"/>
          <w:lang w:val="en-US" w:eastAsia="zh-CN"/>
        </w:rPr>
        <w:t>450m/min</w:t>
      </w:r>
    </w:p>
    <w:p>
      <w:pPr>
        <w:pStyle w:val="7"/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eastAsia"/>
          <w:rtl w:val="0"/>
          <w:lang w:val="en-US" w:eastAsia="zh-CN"/>
        </w:rPr>
      </w:pPr>
    </w:p>
    <w:p>
      <w:pPr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TW" w:eastAsia="zh-CN"/>
        </w:rPr>
        <w:t>监视器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Chars="0" w:right="0" w:right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1、医用专用监视器</w:t>
      </w:r>
    </w:p>
    <w:p>
      <w:pPr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Chars="0" w:right="0" w:rightChars="0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  <w:t>≥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26寸</w:t>
      </w:r>
    </w:p>
    <w:p>
      <w:pPr>
        <w:framePr w:wrap="around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ind w:leftChars="0" w:right="0" w:rightChars="0"/>
        <w:rPr>
          <w:rFonts w:hint="default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zh-TW" w:eastAsia="zh-CN"/>
        </w:rPr>
        <w:t>医用台车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26"/>
          <w:szCs w:val="26"/>
          <w:lang w:val="en-US" w:eastAsia="zh-CN"/>
        </w:rPr>
        <w:t>数量：1</w:t>
      </w:r>
    </w:p>
    <w:p>
      <w:pPr>
        <w:pStyle w:val="4"/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  <w:t>1、专用医用台车</w:t>
      </w:r>
    </w:p>
    <w:p>
      <w:pPr>
        <w:pStyle w:val="4"/>
        <w:framePr w:wrap="around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pacing w:val="0"/>
          <w:w w:val="100"/>
          <w:kern w:val="0"/>
          <w:position w:val="0"/>
          <w:sz w:val="28"/>
          <w:szCs w:val="28"/>
          <w:u w:val="none" w:color="00000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BA264C"/>
    <w:multiLevelType w:val="singleLevel"/>
    <w:tmpl w:val="BFBA26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28633FF"/>
    <w:multiLevelType w:val="singleLevel"/>
    <w:tmpl w:val="E28633F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25259FE"/>
    <w:multiLevelType w:val="singleLevel"/>
    <w:tmpl w:val="F25259F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EAC5E21"/>
    <w:multiLevelType w:val="singleLevel"/>
    <w:tmpl w:val="1EAC5E2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387F5E93"/>
    <w:multiLevelType w:val="singleLevel"/>
    <w:tmpl w:val="387F5E9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A35BAD5"/>
    <w:multiLevelType w:val="singleLevel"/>
    <w:tmpl w:val="3A35BA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43A5ABDE"/>
    <w:multiLevelType w:val="singleLevel"/>
    <w:tmpl w:val="43A5AB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0D63CB3"/>
    <w:multiLevelType w:val="singleLevel"/>
    <w:tmpl w:val="60D63C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RjNjY3MmJlMTgzOTNkYTI4MjNmM2U1MjhhZjAifQ=="/>
  </w:docVars>
  <w:rsids>
    <w:rsidRoot w:val="5DFE46E8"/>
    <w:rsid w:val="010153D0"/>
    <w:rsid w:val="56710BB5"/>
    <w:rsid w:val="5D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 w:val="0"/>
      <w:autoSpaceDE w:val="0"/>
      <w:autoSpaceDN w:val="0"/>
      <w:spacing w:before="0" w:after="120" w:line="240" w:lineRule="auto"/>
      <w:ind w:left="420" w:leftChars="200" w:right="0"/>
      <w:jc w:val="left"/>
    </w:pPr>
    <w:rPr>
      <w:rFonts w:ascii="宋体" w:hAnsi="宋体" w:eastAsia="宋体" w:cs="宋体"/>
      <w:sz w:val="22"/>
      <w:szCs w:val="24"/>
      <w:lang w:val="zh-CN" w:eastAsia="zh-CN" w:bidi="zh-CN"/>
    </w:rPr>
  </w:style>
  <w:style w:type="paragraph" w:styleId="4">
    <w:name w:val="Body Text First Indent 2"/>
    <w:basedOn w:val="3"/>
    <w:qFormat/>
    <w:uiPriority w:val="0"/>
    <w:pPr>
      <w:widowControl w:val="0"/>
      <w:autoSpaceDE w:val="0"/>
      <w:autoSpaceDN w:val="0"/>
      <w:spacing w:before="0" w:after="120" w:afterLines="0" w:line="240" w:lineRule="auto"/>
      <w:ind w:left="420" w:leftChars="200" w:right="0" w:firstLine="420"/>
      <w:jc w:val="left"/>
    </w:pPr>
    <w:rPr>
      <w:rFonts w:ascii="宋体" w:hAnsi="宋体" w:eastAsia="宋体" w:cs="宋体"/>
      <w:sz w:val="21"/>
      <w:szCs w:val="24"/>
      <w:lang w:val="zh-CN" w:eastAsia="zh-CN" w:bidi="zh-CN"/>
    </w:rPr>
  </w:style>
  <w:style w:type="paragraph" w:customStyle="1" w:styleId="7">
    <w:name w:val="正文 A"/>
    <w:next w:val="8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8">
    <w:name w:val="引文目录标题1"/>
    <w:next w:val="7"/>
    <w:qFormat/>
    <w:uiPriority w:val="0"/>
    <w:pPr>
      <w:framePr w:wrap="around" w:vAnchor="margin" w:hAnchor="text" w:y="1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4"/>
      <w:szCs w:val="24"/>
      <w:lang w:val="en-US" w:eastAsia="zh-CN" w:bidi="ar-SA"/>
    </w:rPr>
  </w:style>
  <w:style w:type="paragraph" w:customStyle="1" w:styleId="9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2694</Words>
  <Characters>3009</Characters>
  <Lines>0</Lines>
  <Paragraphs>0</Paragraphs>
  <TotalTime>6</TotalTime>
  <ScaleCrop>false</ScaleCrop>
  <LinksUpToDate>false</LinksUpToDate>
  <CharactersWithSpaces>3081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2023-05-16T08:19:00Z</dcterms:created>
  <dc:creator>勿忘初心</dc:creator>
  <cp:lastModifiedBy>Administrator</cp:lastModifiedBy>
  <dcterms:modified xsi:type="dcterms:W3CDTF">2023-05-18T03:28:21Z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C582A996E4D947F092BE8DEE3BD5E58B_13</vt:lpwstr>
  </property>
</Properties>
</file>